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0420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</w:t>
      </w:r>
      <w:bookmarkStart w:id="12" w:name="_GoBack"/>
      <w:bookmarkEnd w:id="12"/>
      <w:r>
        <w:rPr>
          <w:rFonts w:hint="default"/>
          <w:b/>
          <w:sz w:val="24"/>
          <w:highlight w:val="none"/>
          <w:lang w:val="en-US"/>
        </w:rPr>
        <w:t>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0626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Editorial correction to 5.2A.2.4 and 5.2A.2.5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Some editorial errors in clause 5.2A.2.4 and 5.2A.2.5 need to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Correct all the table titles in clause </w:t>
            </w:r>
            <w:r>
              <w:t>5.2A.2.4.1.3.3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Correct the title of clause </w:t>
            </w:r>
            <w:r>
              <w:t>5.2A.</w:t>
            </w:r>
            <w:r>
              <w:rPr>
                <w:lang w:eastAsia="zh-CN"/>
              </w:rPr>
              <w:t>2.5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Delete the redundant space before clause 5.2A.2.4.1.1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 xml:space="preserve">Correct the derivation path of </w:t>
            </w:r>
            <w:r>
              <w:t xml:space="preserve">Table </w:t>
            </w:r>
            <w:r>
              <w:rPr>
                <w:rFonts w:hint="eastAsia"/>
              </w:rPr>
              <w:t>5.2A.2.4.1.3.3</w:t>
            </w:r>
            <w:r>
              <w:t>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The </w:t>
            </w:r>
            <w:r>
              <w:rPr>
                <w:rFonts w:hint="default"/>
                <w:lang w:val="en-US"/>
              </w:rPr>
              <w:t>incorrect table titles and clause title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5.2A.</w:t>
            </w:r>
            <w:r>
              <w:rPr>
                <w:rFonts w:hint="default"/>
                <w:lang w:val="en-US"/>
              </w:rPr>
              <w:t>2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  <w:r>
              <w:t>.1</w:t>
            </w:r>
            <w:r>
              <w:rPr>
                <w:rFonts w:hint="default"/>
                <w:lang w:val="en-US"/>
              </w:rPr>
              <w:t xml:space="preserve">, </w:t>
            </w:r>
            <w:r>
              <w:t>5.2A.</w:t>
            </w:r>
            <w:r>
              <w:rPr>
                <w:rFonts w:hint="default"/>
                <w:lang w:val="en-US"/>
              </w:rPr>
              <w:t>2</w:t>
            </w:r>
            <w:r>
              <w:t>.</w:t>
            </w:r>
            <w:r>
              <w:rPr>
                <w:rFonts w:hint="default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52217967"/>
      <w:bookmarkStart w:id="5" w:name="_Toc90971497"/>
      <w:bookmarkStart w:id="6" w:name="_Toc36713654"/>
      <w:bookmarkStart w:id="7" w:name="_Toc68538436"/>
      <w:bookmarkStart w:id="8" w:name="_Toc100158405"/>
      <w:bookmarkStart w:id="9" w:name="_Toc106878157"/>
      <w:bookmarkStart w:id="10" w:name="_Toc75510019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r>
        <w:rPr>
          <w:rFonts w:hint="default"/>
          <w:lang w:val="en-US"/>
        </w:rPr>
        <w:t>5</w:t>
      </w:r>
      <w:r>
        <w:t>.2A.2.4.1</w:t>
      </w:r>
      <w:r>
        <w:tab/>
      </w:r>
      <w:r>
        <w:t>2Rx PDSCH Demodulation Performance for HST-SFN CA</w:t>
      </w:r>
    </w:p>
    <w:p>
      <w:pPr>
        <w:pStyle w:val="81"/>
        <w:rPr>
          <w:del w:id="0" w:author="Luyang Zhao-CMCC" w:date="2023-02-14T14:34:37Z"/>
        </w:rPr>
      </w:pPr>
    </w:p>
    <w:p>
      <w:pPr>
        <w:pStyle w:val="8"/>
      </w:pPr>
      <w:r>
        <w:t>5.2A.2.4.1.1</w:t>
      </w:r>
      <w:r>
        <w:tab/>
      </w:r>
      <w:r>
        <w:t>Test Purpose</w:t>
      </w:r>
    </w:p>
    <w:p>
      <w:r>
        <w:rPr>
          <w:rFonts w:eastAsia="宋体"/>
        </w:rPr>
        <w:t>Verify PDSCH performance under 2 receive antenna conditions in the HST-SFN scenario defined in B.3.2 with multiple CA configurations.</w:t>
      </w:r>
    </w:p>
    <w:p>
      <w:pPr>
        <w:pStyle w:val="8"/>
      </w:pPr>
      <w:r>
        <w:t>5.2A.2.4.1.2</w:t>
      </w:r>
      <w:r>
        <w:tab/>
      </w:r>
      <w:r>
        <w:t>Test applicability</w:t>
      </w:r>
    </w:p>
    <w:p>
      <w:r>
        <w:t>This test applies to all types of NR UE release 16 and forward that supports enhanced demodulation processing for carrier aggregation for HST-SFN joint transmission scheme.</w:t>
      </w:r>
    </w:p>
    <w:p>
      <w:pPr>
        <w:pStyle w:val="8"/>
      </w:pPr>
      <w:r>
        <w:t>5.2A.2.4.1.3</w:t>
      </w:r>
      <w:r>
        <w:tab/>
      </w:r>
      <w:r>
        <w:t>Test description</w:t>
      </w:r>
    </w:p>
    <w:p>
      <w:pPr>
        <w:pStyle w:val="8"/>
      </w:pPr>
      <w:r>
        <w:t>5.2A.2.4.1.3.1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Channel BW to be tested: largest aggregated bandwidth combination as per Table 5.1.1.5.2-2.</w:t>
      </w:r>
    </w:p>
    <w:p>
      <w:r>
        <w:t>CA capability to be tested: As per table 5.1.1.5.2-1</w:t>
      </w:r>
    </w:p>
    <w:p>
      <w:pPr>
        <w:pStyle w:val="62"/>
        <w:rPr>
          <w:rFonts w:eastAsia="Malgun Gothic"/>
          <w:lang w:eastAsia="zh-CN"/>
        </w:rPr>
      </w:pPr>
      <w:r>
        <w:rPr>
          <w:rFonts w:eastAsia="Malgun Gothic"/>
        </w:rPr>
        <w:t>Table 5.2A.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: Test point selection table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5.2A.2.</w:t>
            </w:r>
            <w:r>
              <w:rPr>
                <w:rFonts w:eastAsia="Malgun Gothic"/>
              </w:rPr>
              <w:t>4.0</w:t>
            </w:r>
            <w:r>
              <w:rPr>
                <w:rFonts w:eastAsia="Malgun Gothic"/>
                <w:lang w:eastAsia="zh-CN"/>
              </w:rPr>
              <w:t>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5.2A.2.</w:t>
            </w:r>
            <w:r>
              <w:rPr>
                <w:rFonts w:eastAsia="Malgun Gothic"/>
              </w:rPr>
              <w:t>4.0</w:t>
            </w:r>
            <w:r>
              <w:rPr>
                <w:rFonts w:eastAsia="Malgun Gothic"/>
                <w:lang w:eastAsia="zh-CN"/>
              </w:rPr>
              <w:t>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As defined in Table </w:t>
            </w:r>
            <w:r>
              <w:rPr>
                <w:rFonts w:eastAsia="Malgun Gothic"/>
              </w:rPr>
              <w:t>5.2A.2.4.0-3</w:t>
            </w:r>
            <w:r>
              <w:rPr>
                <w:rFonts w:eastAsia="Malgun Gothic"/>
                <w:lang w:eastAsia="zh-CN"/>
              </w:rPr>
              <w:t xml:space="preserve"> and Table </w:t>
            </w:r>
            <w:r>
              <w:rPr>
                <w:rFonts w:eastAsia="Malgun Gothic"/>
              </w:rPr>
              <w:t>5.2A.2.4.0-4</w:t>
            </w:r>
            <w:r>
              <w:rPr>
                <w:rFonts w:eastAsia="Malgun Gothic"/>
                <w:lang w:eastAsia="zh-CN"/>
              </w:rPr>
              <w:t xml:space="preserve">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  <w:shd w:val="clear" w:color="auto" w:fill="auto"/>
          </w:tcPr>
          <w:p>
            <w:pPr>
              <w:pStyle w:val="73"/>
              <w:rPr>
                <w:rFonts w:eastAsia="CG Times (WN)"/>
                <w:lang w:eastAsia="zh-CN"/>
              </w:rPr>
            </w:pPr>
            <w:r>
              <w:rPr>
                <w:rFonts w:eastAsia="CG Times (WN)"/>
              </w:rPr>
              <w:t>Note 1:</w:t>
            </w:r>
            <w:r>
              <w:rPr>
                <w:rFonts w:eastAsia="CG Times (WN)"/>
              </w:rPr>
              <w:tab/>
            </w:r>
            <w:r>
              <w:rPr>
                <w:rFonts w:eastAsia="CG Times (WN)"/>
              </w:rPr>
              <w:t>The applicability of requirements for different CA duplex</w:t>
            </w:r>
            <w:r>
              <w:rPr>
                <w:rFonts w:eastAsia="CG Times (WN)"/>
                <w:lang w:eastAsia="zh-CN"/>
              </w:rPr>
              <w:t xml:space="preserve"> modes</w:t>
            </w:r>
            <w:r>
              <w:rPr>
                <w:rFonts w:eastAsia="CG Times (WN)"/>
              </w:rPr>
              <w:t xml:space="preserve">, </w:t>
            </w:r>
            <w:r>
              <w:rPr>
                <w:rFonts w:eastAsia="CG Times (WN)"/>
                <w:lang w:eastAsia="zh-CN"/>
              </w:rPr>
              <w:t xml:space="preserve">SCSs, </w:t>
            </w:r>
            <w:r>
              <w:rPr>
                <w:rFonts w:eastAsia="CG Times (WN)"/>
              </w:rPr>
              <w:t>CA configuration</w:t>
            </w:r>
            <w:r>
              <w:rPr>
                <w:rFonts w:eastAsia="CG Times (WN)"/>
                <w:lang w:eastAsia="zh-CN"/>
              </w:rPr>
              <w:t>s</w:t>
            </w:r>
            <w:r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/>
    <w:p>
      <w:pPr>
        <w:pStyle w:val="82"/>
      </w:pPr>
      <w:r>
        <w:t>1.</w:t>
      </w:r>
      <w:r>
        <w:tab/>
      </w:r>
      <w:r>
        <w:t>Connect the SS, the faders and AWGN noise source to the UE antenna connectors as shown in TS 38.508-1 [6] Annex A, in Figure A.3.1.7.x for TE diagram and clause A.3.2.6 for UE diagram.</w:t>
      </w:r>
    </w:p>
    <w:p>
      <w:pPr>
        <w:pStyle w:val="82"/>
      </w:pPr>
      <w:r>
        <w:t>2.</w:t>
      </w:r>
      <w:r>
        <w:tab/>
      </w:r>
      <w:r>
        <w:t>The parameter settings for the cell are set up according to Table 5.2-1, Table 5.2A-1 to Table 5.2A-3 as appropriate.</w:t>
      </w:r>
    </w:p>
    <w:p>
      <w:pPr>
        <w:pStyle w:val="82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82"/>
      </w:pPr>
      <w:r>
        <w:t>4.</w:t>
      </w:r>
      <w:r>
        <w:tab/>
      </w:r>
      <w:r>
        <w:t>Propagation conditions are set according to Annex B.3.2.</w:t>
      </w:r>
    </w:p>
    <w:p>
      <w:pPr>
        <w:pStyle w:val="82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5.2A.2.4.1.3.3.</w:t>
      </w:r>
    </w:p>
    <w:p>
      <w:pPr>
        <w:pStyle w:val="8"/>
      </w:pPr>
      <w:r>
        <w:t>5.2A.2.4.1.3.2</w:t>
      </w:r>
      <w:r>
        <w:tab/>
      </w:r>
      <w:r>
        <w:t>Test procedure</w:t>
      </w:r>
    </w:p>
    <w:p>
      <w:pPr>
        <w:pStyle w:val="82"/>
      </w:pPr>
      <w:r>
        <w:t>1.</w:t>
      </w:r>
      <w:r>
        <w:tab/>
      </w:r>
      <w:r>
        <w:t>Configure SCC according to Annex C.0, C.1 and C.2 for all downlink physical channels.</w:t>
      </w:r>
    </w:p>
    <w:p>
      <w:pPr>
        <w:pStyle w:val="82"/>
      </w:pPr>
      <w:r>
        <w:t>2.</w:t>
      </w:r>
      <w:r>
        <w:tab/>
      </w:r>
      <w:r>
        <w:t>The SS shall configure SCC as per TS 38.508-1 [6] clause 5.5.1. Message contents are defined in clause 5.2A.2.4.1.3.3.</w:t>
      </w:r>
    </w:p>
    <w:p>
      <w:pPr>
        <w:pStyle w:val="82"/>
      </w:pPr>
      <w:r>
        <w:t>3.</w:t>
      </w:r>
      <w:r>
        <w:tab/>
      </w:r>
      <w:r>
        <w:t>SS activates SCC by sending the activation MAC-CE (Refer TS 38.321 [18], clauses 5.9, 6.1.3.10). Wait for at least 1 second (Refer TS 38.133[19], clause 9.3).</w:t>
      </w:r>
    </w:p>
    <w:p>
      <w:pPr>
        <w:pStyle w:val="82"/>
      </w:pPr>
      <w:r>
        <w:t>4.</w:t>
      </w:r>
      <w:r>
        <w:tab/>
      </w:r>
      <w:r>
        <w:t>SS transmits PDSCH via PDCCH DCI format 1_1 for C_RNTI to transmit the DL RMC according to Tables 5.2A.</w:t>
      </w:r>
      <w:r>
        <w:rPr>
          <w:lang w:eastAsia="zh-CN"/>
        </w:rPr>
        <w:t>2</w:t>
      </w:r>
      <w:r>
        <w:t>.4.0-</w:t>
      </w:r>
      <w:r>
        <w:rPr>
          <w:lang w:eastAsia="zh-CN"/>
        </w:rPr>
        <w:t>2</w:t>
      </w:r>
      <w:r>
        <w:t xml:space="preserve"> to 5.2A.</w:t>
      </w:r>
      <w:r>
        <w:rPr>
          <w:lang w:eastAsia="zh-CN"/>
        </w:rPr>
        <w:t>2</w:t>
      </w:r>
      <w:r>
        <w:t>.4.0-</w:t>
      </w:r>
      <w:r>
        <w:rPr>
          <w:lang w:eastAsia="zh-CN"/>
        </w:rPr>
        <w:t>5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>
      <w:pPr>
        <w:pStyle w:val="82"/>
      </w:pPr>
      <w:r>
        <w:t>5.</w:t>
      </w:r>
      <w:r>
        <w:tab/>
      </w:r>
      <w:r>
        <w:t>Set the parameters of the bandwidth, MCS, reference channel, the propagation condition, the correlation matrix and the SNR according to 5.2A.</w:t>
      </w:r>
      <w:r>
        <w:rPr>
          <w:lang w:eastAsia="zh-CN"/>
        </w:rPr>
        <w:t>2</w:t>
      </w:r>
      <w:r>
        <w:t>.4.1.3.4-</w:t>
      </w:r>
      <w:r>
        <w:rPr>
          <w:lang w:eastAsia="zh-CN"/>
        </w:rPr>
        <w:t>1</w:t>
      </w:r>
      <w:r>
        <w:t xml:space="preserve"> and 5.2A.</w:t>
      </w:r>
      <w:r>
        <w:rPr>
          <w:lang w:eastAsia="zh-CN"/>
        </w:rPr>
        <w:t>2</w:t>
      </w:r>
      <w:r>
        <w:t>.4.1.3.4-</w:t>
      </w:r>
      <w:r>
        <w:rPr>
          <w:lang w:eastAsia="zh-CN"/>
        </w:rPr>
        <w:t>2</w:t>
      </w:r>
      <w:r>
        <w:t xml:space="preserve"> as appropriate on both PCC and SCC. </w:t>
      </w:r>
    </w:p>
    <w:p>
      <w:pPr>
        <w:pStyle w:val="82"/>
      </w:pPr>
      <w:r>
        <w:t>6.</w:t>
      </w:r>
      <w:r>
        <w:tab/>
      </w:r>
      <w:r>
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</w:r>
    </w:p>
    <w:p>
      <w:pPr>
        <w:pStyle w:val="82"/>
      </w:pPr>
      <w:r>
        <w:t>7.</w:t>
      </w:r>
      <w:r>
        <w:tab/>
      </w:r>
      <w:r>
        <w:t xml:space="preserve">Repeat steps from 1 to 6 for each test points in Table </w:t>
      </w:r>
      <w:r>
        <w:rPr>
          <w:rFonts w:eastAsia="Malgun Gothic"/>
        </w:rPr>
        <w:t>5.2A.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t xml:space="preserve"> as appropriate.</w:t>
      </w:r>
    </w:p>
    <w:p>
      <w:pPr>
        <w:pStyle w:val="8"/>
      </w:pPr>
      <w:r>
        <w:t>5.2A.2.4.1.3.3</w:t>
      </w:r>
      <w:r>
        <w:tab/>
      </w:r>
      <w:r>
        <w:t>Message contents</w:t>
      </w:r>
    </w:p>
    <w:p>
      <w:r>
        <w:t>Message contents are according to TS 38.508-1 [6] clauses 4.6.1 and 5.4.2 with the following exceptions:</w:t>
      </w:r>
    </w:p>
    <w:p>
      <w:pPr>
        <w:pStyle w:val="62"/>
        <w:rPr>
          <w:i/>
          <w:iCs/>
        </w:rPr>
      </w:pPr>
      <w:r>
        <w:t xml:space="preserve">Table </w:t>
      </w:r>
      <w:ins w:id="1" w:author="Luyang Zhao-CMCC" w:date="2023-02-14T14:35:08Z">
        <w:r>
          <w:rPr>
            <w:rFonts w:hint="eastAsia"/>
          </w:rPr>
          <w:t>5.2A.2.4.1.3.3</w:t>
        </w:r>
      </w:ins>
      <w:del w:id="2" w:author="Luyang Zhao-CMCC" w:date="2023-02-14T14:35:08Z">
        <w:r>
          <w:rPr/>
          <w:delText>5.2.2.1.9_1.3.3_1</w:delText>
        </w:r>
      </w:del>
      <w:r>
        <w:t xml:space="preserve">-1: </w:t>
      </w:r>
      <w:r>
        <w:rPr>
          <w:i/>
          <w:iCs/>
        </w:rPr>
        <w:t>PDSCH-Config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Derivation Path: TS 38.508-1 [6], Table 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prb-BundlingType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staticBundling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bundleSize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n2 </w:t>
            </w:r>
            <w:r>
              <w:rPr>
                <w:lang w:eastAsia="zh-CN"/>
              </w:rPr>
              <w:t>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 xml:space="preserve">Table </w:t>
      </w:r>
      <w:ins w:id="3" w:author="Luyang Zhao-CMCC" w:date="2023-02-14T14:35:26Z">
        <w:r>
          <w:rPr>
            <w:rFonts w:hint="eastAsia"/>
          </w:rPr>
          <w:t>5.2A.2.4.1.3.3</w:t>
        </w:r>
      </w:ins>
      <w:del w:id="4" w:author="Luyang Zhao-CMCC" w:date="2023-02-14T14:35:26Z">
        <w:r>
          <w:rPr/>
          <w:delText>5.2.3.1.9_1.3.3_1</w:delText>
        </w:r>
      </w:del>
      <w:r>
        <w:t>-2: DMRS-DownlinkConfig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</w:rPr>
            </w:pPr>
            <w:r>
              <w:t>Derivation Path: TS 38.508-1 [6], Table 5.4.2.0-24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DMRS-DownlinkConfig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dmrs-AdditionalPosition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pos2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 xml:space="preserve">Table </w:t>
      </w:r>
      <w:ins w:id="5" w:author="Luyang Zhao-CMCC" w:date="2023-02-14T14:35:33Z">
        <w:r>
          <w:rPr>
            <w:rFonts w:hint="eastAsia"/>
          </w:rPr>
          <w:t>5.2A.2.4.1.3.3</w:t>
        </w:r>
      </w:ins>
      <w:del w:id="6" w:author="Luyang Zhao-CMCC" w:date="2023-02-14T14:35:33Z">
        <w:r>
          <w:rPr/>
          <w:delText>5.2.3.1.9_1.3.3_1</w:delText>
        </w:r>
      </w:del>
      <w:r>
        <w:t>-3: PDSCH-ServingCellConfig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</w:rPr>
            </w:pPr>
            <w:r>
              <w:t>Derivation Path: TS 38.508-1 [6], Table 5.4.2.0-25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n4</w:t>
            </w:r>
          </w:p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test 1-1</w:t>
            </w:r>
          </w:p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5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n8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test 1-2</w:t>
            </w:r>
          </w:p>
          <w:p>
            <w:pPr>
              <w:pStyle w:val="60"/>
            </w:pPr>
            <w:r>
              <w:t>test 1-3 (FDD and TDD)</w:t>
            </w: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 xml:space="preserve">Table </w:t>
      </w:r>
      <w:ins w:id="7" w:author="Luyang Zhao-CMCC" w:date="2023-02-14T14:35:37Z">
        <w:r>
          <w:rPr>
            <w:rFonts w:hint="eastAsia"/>
          </w:rPr>
          <w:t>5.2A.2.4.1.3.3</w:t>
        </w:r>
      </w:ins>
      <w:del w:id="8" w:author="Luyang Zhao-CMCC" w:date="2023-02-14T14:35:37Z">
        <w:r>
          <w:rPr/>
          <w:delText>5.2.3.1.9_1.3.3_1</w:delText>
        </w:r>
      </w:del>
      <w:r>
        <w:t>-4: CSI-ResourcePeriodicityAndOffset for CSI Tracking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="Malgun Gothic"/>
                <w:lang w:val="en-US"/>
              </w:rPr>
            </w:pPr>
            <w:r>
              <w:t>Derivation Path: TS 38.508-1 [6], Table 5.4.2.0-</w:t>
            </w:r>
            <w:del w:id="9" w:author="Luyang Zhao-CMCC" w:date="2023-02-14T14:37:59Z">
              <w:r>
                <w:rPr>
                  <w:rFonts w:hint="default"/>
                  <w:lang w:val="en-US"/>
                </w:rPr>
                <w:delText>9</w:delText>
              </w:r>
            </w:del>
            <w:ins w:id="10" w:author="Luyang Zhao-CMCC" w:date="2023-02-14T14:37:59Z">
              <w:r>
                <w:rPr>
                  <w:rFonts w:hint="default"/>
                  <w:lang w:val="en-US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slots10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1 for CSI-RS resource #1 and #2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rPr>
                <w:lang w:eastAsia="zh-CN"/>
              </w:rPr>
              <w:t xml:space="preserve">2 for </w:t>
            </w:r>
            <w:r>
              <w:t>CSI-RS resource #3 and #4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periodicity:</w:t>
            </w:r>
          </w:p>
          <w:p>
            <w:pPr>
              <w:pStyle w:val="60"/>
            </w:pPr>
            <w:r>
              <w:t>10 slots for recource 1,2,3,4.</w:t>
            </w:r>
          </w:p>
          <w:p>
            <w:pPr>
              <w:pStyle w:val="60"/>
              <w:rPr>
                <w:lang w:eastAsia="zh-CN"/>
              </w:rPr>
            </w:pPr>
            <w:r>
              <w:t>offset = 1 for CSI-RS resource 1 and 2</w:t>
            </w:r>
          </w:p>
          <w:p>
            <w:pPr>
              <w:pStyle w:val="60"/>
            </w:pPr>
            <w:r>
              <w:t>offset =2 for CSI-RS resource 3 and 4.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FDD/ SCS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slots20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1 for CSI-RS resource #1 and #2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rPr>
                <w:lang w:eastAsia="zh-CN"/>
              </w:rPr>
              <w:t xml:space="preserve">2 for </w:t>
            </w:r>
            <w:r>
              <w:t>CSI-RS resource #3 and #4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periodicity:</w:t>
            </w:r>
          </w:p>
          <w:p>
            <w:pPr>
              <w:pStyle w:val="60"/>
            </w:pPr>
            <w:r>
              <w:t>20 slots for recource 1,2,3,4.</w:t>
            </w:r>
          </w:p>
          <w:p>
            <w:pPr>
              <w:pStyle w:val="60"/>
              <w:rPr>
                <w:lang w:eastAsia="zh-CN"/>
              </w:rPr>
            </w:pPr>
            <w:r>
              <w:t>offset = 1 for CSI-RS resource 1 and 2</w:t>
            </w:r>
          </w:p>
          <w:p>
            <w:pPr>
              <w:pStyle w:val="60"/>
            </w:pPr>
            <w:r>
              <w:t>offset =2 for CSI-RS resource 3 and 4.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TDD/ SCS 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p>
      <w:pPr>
        <w:pStyle w:val="8"/>
      </w:pPr>
      <w:r>
        <w:t>5.2A.2.4.1.3.4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5.2A.2.4.1.3.4</w:t>
      </w:r>
      <w:r>
        <w:rPr>
          <w:rFonts w:eastAsia="Batang"/>
        </w:rPr>
        <w:t>-</w:t>
      </w:r>
      <w:r>
        <w:rPr>
          <w:rFonts w:eastAsia="MS Mincho"/>
        </w:rPr>
        <w:t xml:space="preserve">1 and </w:t>
      </w:r>
      <w:r>
        <w:t>5.2A.2.4.1.3.4</w:t>
      </w:r>
      <w:r>
        <w:rPr>
          <w:rFonts w:eastAsia="Batang"/>
        </w:rPr>
        <w:t>-2 define the primary level settings.</w:t>
      </w:r>
    </w:p>
    <w:p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5.2A.2.4.1.3.4</w:t>
      </w:r>
      <w:r>
        <w:rPr>
          <w:rFonts w:eastAsia="Batang"/>
        </w:rPr>
        <w:t>-</w:t>
      </w:r>
      <w:r>
        <w:rPr>
          <w:rFonts w:eastAsia="MS Mincho"/>
        </w:rPr>
        <w:t xml:space="preserve">1 and </w:t>
      </w:r>
      <w:r>
        <w:t>5.2A.2.4.1.3.4</w:t>
      </w:r>
      <w:r>
        <w:rPr>
          <w:rFonts w:eastAsia="Batang"/>
        </w:rPr>
        <w:t>-2</w:t>
      </w:r>
      <w:r>
        <w:t xml:space="preserve"> for the specified SNR including test tolerances for the test points listed in Table 5.2A.2.4.1.3.1-</w:t>
      </w:r>
      <w:r>
        <w:rPr>
          <w:lang w:eastAsia="zh-CN"/>
        </w:rPr>
        <w:t>1</w:t>
      </w:r>
      <w:r>
        <w:t>.</w:t>
      </w: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5.2A.2.4.1.3.4-1: Single carrier performance for FDD 15 kHz SCS for CA configurations</w:t>
      </w:r>
    </w:p>
    <w:tbl>
      <w:tblPr>
        <w:tblStyle w:val="47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56"/>
        <w:gridCol w:w="1382"/>
        <w:gridCol w:w="1566"/>
        <w:gridCol w:w="1399"/>
        <w:gridCol w:w="158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>Bandwidth (MHz)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6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29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宋体"/>
              </w:rPr>
              <w:t>R.PDSCH.1-13.1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宋体"/>
                <w:lang w:eastAsia="zh-CN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R.PDSCH.1-8.3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</w:rPr>
              <w:t>R.PDSCH.1-13.2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R.PDSCH.1-13.3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R.PDSCH.1-13.4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R.PDSCH.1-13.5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35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R.PDSCH.1-14.3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R.PDSCH.1-14.1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45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R.PDSCH.1-14.4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76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R.PDSCH.1-14.2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14.6</w:t>
            </w:r>
          </w:p>
        </w:tc>
      </w:tr>
    </w:tbl>
    <w:p>
      <w:pPr>
        <w:rPr>
          <w:rFonts w:eastAsia="宋体"/>
        </w:rPr>
      </w:pP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.4.1.3.4-</w:t>
      </w:r>
      <w:r>
        <w:rPr>
          <w:rFonts w:eastAsia="Malgun Gothic"/>
          <w:lang w:eastAsia="zh-CN"/>
        </w:rPr>
        <w:t>2:</w:t>
      </w:r>
      <w:r>
        <w:rPr>
          <w:rFonts w:eastAsia="Malgun Gothic"/>
        </w:rPr>
        <w:t xml:space="preserve"> Single carrier performance for TDD 30 kHz SCS for CA configurations</w:t>
      </w:r>
    </w:p>
    <w:tbl>
      <w:tblPr>
        <w:tblStyle w:val="47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63"/>
        <w:gridCol w:w="1385"/>
        <w:gridCol w:w="1569"/>
        <w:gridCol w:w="1389"/>
        <w:gridCol w:w="1584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>Bandwidth (MHz)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7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72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31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2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3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宋体"/>
              </w:rPr>
              <w:t>R.PDSCH.2-19.1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</w:rPr>
              <w:t>R.PDSCH.2-19.2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</w:rPr>
              <w:t>R.PDSCH.2-19.3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R.PDSCH.2-19.4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R.PDSCH.2-19.5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R.PDSCH.2-20.1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R.PDSCH.2-10.4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R.PDSCH.2-20.2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R.PDSCH.2-20.3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</w:rPr>
              <w:t>R.PDSCH.2-20.4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</w:rPr>
              <w:t>R.PDSCH.2-20.5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7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</w:rPr>
              <w:t>R.PDSCH.2-21.1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15.4</w:t>
            </w:r>
          </w:p>
        </w:tc>
      </w:tr>
    </w:tbl>
    <w:p>
      <w:pPr>
        <w:rPr>
          <w:rFonts w:eastAsia="Malgun Gothic"/>
        </w:rPr>
      </w:pPr>
    </w:p>
    <w:p>
      <w:pPr>
        <w:pStyle w:val="5"/>
      </w:pPr>
      <w:r>
        <w:t>5.2A.</w:t>
      </w:r>
      <w:r>
        <w:rPr>
          <w:lang w:eastAsia="zh-CN"/>
        </w:rPr>
        <w:t>2.5</w:t>
      </w:r>
      <w:r>
        <w:rPr>
          <w:lang w:eastAsia="zh-CN"/>
        </w:rPr>
        <w:tab/>
      </w:r>
      <w:r>
        <w:rPr>
          <w:lang w:eastAsia="zh-CN"/>
        </w:rPr>
        <w:t xml:space="preserve">Requirements for 2RX </w:t>
      </w:r>
      <w:del w:id="11" w:author="Luyang Zhao-CMCC" w:date="2023-02-14T14:40:49Z">
        <w:r>
          <w:rPr>
            <w:lang w:eastAsia="zh-CN"/>
          </w:rPr>
          <w:delText xml:space="preserve">PDSCH </w:delText>
        </w:r>
      </w:del>
      <w:r>
        <w:rPr>
          <w:lang w:eastAsia="zh-CN"/>
        </w:rPr>
        <w:t>HST-DPS CA PDSCH</w:t>
      </w:r>
    </w:p>
    <w:p>
      <w:pPr>
        <w:pStyle w:val="6"/>
      </w:pPr>
      <w:r>
        <w:t>5.2A.2.5.0</w:t>
      </w:r>
      <w:r>
        <w:tab/>
      </w:r>
      <w:r>
        <w:rPr>
          <w:lang w:eastAsia="zh-CN"/>
        </w:rPr>
        <w:t>Minimum conformance requirements for 2RX HST-DPS CA PDSCH</w:t>
      </w:r>
    </w:p>
    <w:p>
      <w:pPr>
        <w:rPr>
          <w:rFonts w:eastAsia="宋体"/>
        </w:rPr>
      </w:pPr>
      <w:r>
        <w:rPr>
          <w:rFonts w:eastAsia="宋体"/>
          <w:lang w:eastAsia="zh-CN"/>
        </w:rPr>
        <w:t xml:space="preserve">For HST-DPS CA with different numbers of DL </w:t>
      </w:r>
      <w:r>
        <w:rPr>
          <w:rFonts w:eastAsia="宋体"/>
          <w:snapToGrid w:val="0"/>
          <w:lang w:eastAsia="zh-CN"/>
        </w:rPr>
        <w:t>component carrier</w:t>
      </w:r>
      <w:r>
        <w:rPr>
          <w:rFonts w:eastAsia="宋体"/>
          <w:lang w:eastAsia="zh-CN"/>
        </w:rPr>
        <w:t xml:space="preserve">s, the </w:t>
      </w:r>
      <w:r>
        <w:rPr>
          <w:rFonts w:eastAsia="宋体"/>
        </w:rPr>
        <w:t>requirements</w:t>
      </w:r>
      <w:r>
        <w:rPr>
          <w:rFonts w:eastAsia="宋体"/>
          <w:lang w:eastAsia="zh-CN"/>
        </w:rPr>
        <w:t xml:space="preserve"> are defined in </w:t>
      </w:r>
      <w:r>
        <w:rPr>
          <w:rFonts w:eastAsia="宋体"/>
        </w:rPr>
        <w:t>Table 5.2A.2.5.0-</w:t>
      </w:r>
      <w:r>
        <w:rPr>
          <w:rFonts w:eastAsia="宋体"/>
          <w:lang w:eastAsia="zh-CN"/>
        </w:rPr>
        <w:t>7 and Table 5.2A.2.5.0-8 based on t</w:t>
      </w:r>
      <w:r>
        <w:rPr>
          <w:rFonts w:eastAsia="宋体"/>
        </w:rPr>
        <w:t>he single carrier requirements for different SCSs and different bandwidth specified in Table 5.2A.2.5.0-</w:t>
      </w:r>
      <w:r>
        <w:rPr>
          <w:rFonts w:eastAsia="宋体"/>
          <w:lang w:eastAsia="zh-CN"/>
        </w:rPr>
        <w:t>3</w:t>
      </w:r>
      <w:r>
        <w:rPr>
          <w:rFonts w:eastAsia="宋体"/>
        </w:rPr>
        <w:t xml:space="preserve"> ~ Table 5.2A.2.5.0-</w:t>
      </w:r>
      <w:r>
        <w:rPr>
          <w:rFonts w:eastAsia="宋体"/>
          <w:lang w:eastAsia="zh-CN"/>
        </w:rPr>
        <w:t>6,</w:t>
      </w:r>
      <w:r>
        <w:rPr>
          <w:rFonts w:eastAsia="宋体"/>
        </w:rPr>
        <w:t xml:space="preserve"> with the parameters in Table 5.2A.2.5.0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 xml:space="preserve">, Table 5.2A-2 and </w:t>
      </w:r>
      <w:r>
        <w:rPr>
          <w:rFonts w:eastAsia="宋体"/>
          <w:lang w:eastAsia="zh-CN"/>
        </w:rPr>
        <w:t>Table 5.2A-3</w:t>
      </w:r>
      <w:r>
        <w:rPr>
          <w:rFonts w:eastAsia="宋体"/>
        </w:rPr>
        <w:t xml:space="preserve"> and the downlink physical channel setup according to Annex C.2.1. The performance requirements </w:t>
      </w:r>
      <w:r>
        <w:rPr>
          <w:rFonts w:eastAsia="宋体"/>
          <w:lang w:eastAsia="zh-CN"/>
        </w:rPr>
        <w:t xml:space="preserve">specified in this sub-clause </w:t>
      </w:r>
      <w:r>
        <w:rPr>
          <w:rFonts w:eastAsia="宋体"/>
        </w:rPr>
        <w:t xml:space="preserve">do not apply for </w:t>
      </w:r>
      <w:r>
        <w:rPr>
          <w:rFonts w:eastAsia="宋体"/>
          <w:lang w:eastAsia="zh-CN"/>
        </w:rPr>
        <w:t xml:space="preserve">UE </w:t>
      </w:r>
      <w:r>
        <w:rPr>
          <w:rFonts w:eastAsia="宋体"/>
        </w:rPr>
        <w:t>single carrier test.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test purpose is specified in Table 5.2A.2.5.0-1.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29BE7C9"/>
    <w:multiLevelType w:val="singleLevel"/>
    <w:tmpl w:val="329BE7C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282634"/>
    <w:rsid w:val="2F340456"/>
    <w:rsid w:val="2F9860CB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3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2023-02-15T07:22:41Z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